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361"/>
        <w:gridCol w:w="6359"/>
      </w:tblGrid>
      <w:tr w:rsidR="00745540" w:rsidRPr="00EC18E2" w14:paraId="5FFE51E3" w14:textId="77777777" w:rsidTr="00D440C2">
        <w:trPr>
          <w:trHeight w:val="1267"/>
        </w:trPr>
        <w:tc>
          <w:tcPr>
            <w:tcW w:w="2361" w:type="dxa"/>
          </w:tcPr>
          <w:p w14:paraId="19C7150A" w14:textId="77777777" w:rsidR="00745540" w:rsidRPr="000118AD" w:rsidRDefault="00745540" w:rsidP="00D440C2">
            <w:pPr>
              <w:pStyle w:val="Encabezado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A71D51" wp14:editId="601C6CF0">
                  <wp:simplePos x="0" y="0"/>
                  <wp:positionH relativeFrom="column">
                    <wp:posOffset>-232727</wp:posOffset>
                  </wp:positionH>
                  <wp:positionV relativeFrom="paragraph">
                    <wp:posOffset>-158750</wp:posOffset>
                  </wp:positionV>
                  <wp:extent cx="2001260" cy="724278"/>
                  <wp:effectExtent l="0" t="0" r="0" b="0"/>
                  <wp:wrapNone/>
                  <wp:docPr id="4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60" cy="72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1" w:type="dxa"/>
          </w:tcPr>
          <w:p w14:paraId="057EF18F" w14:textId="77777777" w:rsidR="00745540" w:rsidRPr="00EC18E2" w:rsidRDefault="00745540" w:rsidP="00D440C2"/>
        </w:tc>
        <w:tc>
          <w:tcPr>
            <w:tcW w:w="6359" w:type="dxa"/>
          </w:tcPr>
          <w:p w14:paraId="7205B504" w14:textId="77777777" w:rsidR="00745540" w:rsidRPr="00BB05F0" w:rsidRDefault="00745540" w:rsidP="00D440C2">
            <w:pPr>
              <w:rPr>
                <w:rFonts w:ascii="Calibri" w:hAnsi="Calibri" w:cs="Calibri"/>
                <w:b/>
                <w:color w:val="8DB3E2"/>
              </w:rPr>
            </w:pPr>
            <w:r w:rsidRPr="00BB05F0">
              <w:rPr>
                <w:rFonts w:ascii="Calibri" w:hAnsi="Calibri" w:cs="Calibri"/>
                <w:b/>
                <w:color w:val="8DB3E2"/>
              </w:rPr>
              <w:t>Departamento de Comunicación y Marketing</w:t>
            </w:r>
          </w:p>
        </w:tc>
      </w:tr>
    </w:tbl>
    <w:p w14:paraId="3A985FFC" w14:textId="7EBD7A10" w:rsidR="00745540" w:rsidRDefault="00FB0963" w:rsidP="00FB0963">
      <w:pPr>
        <w:pStyle w:val="Encabezado"/>
        <w:jc w:val="center"/>
      </w:pPr>
      <w:r>
        <w:t>NOTA DE PRENSA</w:t>
      </w:r>
    </w:p>
    <w:p w14:paraId="745A824A" w14:textId="330A478A" w:rsidR="00454393" w:rsidRDefault="00FB0963" w:rsidP="0045439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B0963">
        <w:rPr>
          <w:rFonts w:asciiTheme="minorHAnsi" w:hAnsiTheme="minorHAnsi" w:cstheme="minorHAnsi"/>
          <w:b/>
          <w:bCs/>
          <w:sz w:val="40"/>
          <w:szCs w:val="40"/>
        </w:rPr>
        <w:t xml:space="preserve">La abogacía reclama que la asistencia letrada en prisión sea obligatoria y </w:t>
      </w:r>
      <w:r w:rsidR="00372CDB">
        <w:rPr>
          <w:rFonts w:asciiTheme="minorHAnsi" w:hAnsiTheme="minorHAnsi" w:cstheme="minorHAnsi"/>
          <w:b/>
          <w:bCs/>
          <w:sz w:val="40"/>
          <w:szCs w:val="40"/>
        </w:rPr>
        <w:t xml:space="preserve">esté </w:t>
      </w:r>
      <w:r w:rsidRPr="00FB0963">
        <w:rPr>
          <w:rFonts w:asciiTheme="minorHAnsi" w:hAnsiTheme="minorHAnsi" w:cstheme="minorHAnsi"/>
          <w:b/>
          <w:bCs/>
          <w:sz w:val="40"/>
          <w:szCs w:val="40"/>
        </w:rPr>
        <w:t>cubierta por la Justicia Gratuita</w:t>
      </w:r>
    </w:p>
    <w:p w14:paraId="4FBC9C91" w14:textId="196410B3" w:rsidR="00B70242" w:rsidRPr="00D351DE" w:rsidRDefault="00B70242" w:rsidP="00B70242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D351DE">
        <w:rPr>
          <w:rFonts w:asciiTheme="minorHAnsi" w:hAnsiTheme="minorHAnsi" w:cstheme="minorHAnsi"/>
          <w:bCs/>
        </w:rPr>
        <w:t>El presidente del Consejo recalca la importancia de los Servicios de Orientación Jurídica Penitenciaria que ya existen en 32 Colegios</w:t>
      </w:r>
    </w:p>
    <w:p w14:paraId="2EE16B56" w14:textId="46466710" w:rsidR="00B70242" w:rsidRPr="00D351DE" w:rsidRDefault="00B70242" w:rsidP="00B70242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D351DE">
        <w:rPr>
          <w:rFonts w:asciiTheme="minorHAnsi" w:hAnsiTheme="minorHAnsi" w:cstheme="minorHAnsi"/>
          <w:bCs/>
        </w:rPr>
        <w:t>Ciudad Real abre su propio servicio con la aportación económica de la Diputación Provincial</w:t>
      </w:r>
      <w:r w:rsidR="00D351DE">
        <w:rPr>
          <w:rFonts w:asciiTheme="minorHAnsi" w:hAnsiTheme="minorHAnsi" w:cstheme="minorHAnsi"/>
          <w:bCs/>
        </w:rPr>
        <w:t xml:space="preserve"> para prestar asistencia a sus dos prisiones</w:t>
      </w:r>
    </w:p>
    <w:p w14:paraId="026347D7" w14:textId="29AACA43" w:rsidR="000705AB" w:rsidRDefault="005F5FAF" w:rsidP="00FE7D8A">
      <w:pPr>
        <w:spacing w:before="24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E32B3" wp14:editId="029161E9">
                <wp:simplePos x="0" y="0"/>
                <wp:positionH relativeFrom="column">
                  <wp:posOffset>5715</wp:posOffset>
                </wp:positionH>
                <wp:positionV relativeFrom="paragraph">
                  <wp:posOffset>151764</wp:posOffset>
                </wp:positionV>
                <wp:extent cx="58197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4E5D0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95pt" to="45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6B08A750" w14:textId="1905D8E9" w:rsidR="00FB0963" w:rsidRPr="00FB0963" w:rsidRDefault="00FB0963" w:rsidP="00FB09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354786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354786">
        <w:rPr>
          <w:rFonts w:asciiTheme="minorHAnsi" w:hAnsiTheme="minorHAnsi" w:cstheme="minorHAnsi"/>
          <w:b/>
          <w:bCs/>
          <w:sz w:val="22"/>
          <w:szCs w:val="22"/>
        </w:rPr>
        <w:t>-202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F5FAF" w:rsidRPr="005F5F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B0963">
        <w:rPr>
          <w:rFonts w:ascii="Arial" w:hAnsi="Arial" w:cs="Arial"/>
          <w:sz w:val="22"/>
          <w:szCs w:val="22"/>
        </w:rPr>
        <w:t xml:space="preserve">El presidente de la Abogacía, Salvador González, </w:t>
      </w:r>
      <w:r>
        <w:rPr>
          <w:rFonts w:ascii="Arial" w:hAnsi="Arial" w:cs="Arial"/>
          <w:sz w:val="22"/>
          <w:szCs w:val="22"/>
        </w:rPr>
        <w:t xml:space="preserve">ha reclamado hoy, </w:t>
      </w:r>
      <w:r w:rsidRPr="00FB0963">
        <w:rPr>
          <w:rFonts w:ascii="Arial" w:hAnsi="Arial" w:cs="Arial"/>
          <w:sz w:val="22"/>
          <w:szCs w:val="22"/>
        </w:rPr>
        <w:t>en la inauguración de las XXVI Jornadas de los Servicios de Orientación Jurídica Penitenciaria que se celebran hoy y mañana en Ciudad Real</w:t>
      </w:r>
      <w:r>
        <w:rPr>
          <w:rFonts w:ascii="Arial" w:hAnsi="Arial" w:cs="Arial"/>
          <w:sz w:val="22"/>
          <w:szCs w:val="22"/>
        </w:rPr>
        <w:t xml:space="preserve">, </w:t>
      </w:r>
      <w:r w:rsidRPr="00FB0963">
        <w:rPr>
          <w:rFonts w:ascii="Arial" w:hAnsi="Arial" w:cs="Arial"/>
          <w:sz w:val="22"/>
          <w:szCs w:val="22"/>
        </w:rPr>
        <w:t>que la asistencia letrada en prisión sea obligatoria y esté incluida dentro de la asistencia jurídica gratuita.</w:t>
      </w:r>
    </w:p>
    <w:p w14:paraId="2E564FE2" w14:textId="77777777" w:rsidR="00FB0963" w:rsidRPr="00FB0963" w:rsidRDefault="00FB0963" w:rsidP="00FB09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0963">
        <w:rPr>
          <w:rFonts w:ascii="Arial" w:hAnsi="Arial" w:cs="Arial"/>
          <w:sz w:val="22"/>
          <w:szCs w:val="22"/>
        </w:rPr>
        <w:t>“Resulta absolutamente inaplazable esa nueva Ley de Asistencia Jurídica Gratuita que resuelva, de una vez por todas, los muchos déficits que existen y que están ya perfectamente identificados, incluido, naturalmente, la cobertura por dicha ley de los servicios de asistencia y orientación jurídica penitenciaria”, afirmó González.</w:t>
      </w:r>
    </w:p>
    <w:p w14:paraId="40435EBA" w14:textId="77777777" w:rsidR="00FB0963" w:rsidRDefault="00FB0963" w:rsidP="00FB09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0963">
        <w:rPr>
          <w:rFonts w:ascii="Arial" w:hAnsi="Arial" w:cs="Arial"/>
          <w:sz w:val="22"/>
          <w:szCs w:val="22"/>
        </w:rPr>
        <w:t xml:space="preserve">“Como igual de importante es, en línea de lo que venimos reclamando jornada tras jornada, la </w:t>
      </w:r>
      <w:proofErr w:type="spellStart"/>
      <w:r w:rsidRPr="00FB0963">
        <w:rPr>
          <w:rFonts w:ascii="Arial" w:hAnsi="Arial" w:cs="Arial"/>
          <w:sz w:val="22"/>
          <w:szCs w:val="22"/>
        </w:rPr>
        <w:t>preceptividad</w:t>
      </w:r>
      <w:proofErr w:type="spellEnd"/>
      <w:r w:rsidRPr="00FB0963">
        <w:rPr>
          <w:rFonts w:ascii="Arial" w:hAnsi="Arial" w:cs="Arial"/>
          <w:sz w:val="22"/>
          <w:szCs w:val="22"/>
        </w:rPr>
        <w:t xml:space="preserve"> de la asistencia letrada en cualquier trámite -judicial o administrativo- de vigilancia penitenciaria, y que dicha asistencia sea obligatoria en la legislación del procedimiento penitenciario”, añadió.</w:t>
      </w:r>
    </w:p>
    <w:p w14:paraId="5529A258" w14:textId="22617B3C" w:rsidR="00B70242" w:rsidRPr="00FB0963" w:rsidRDefault="00B70242" w:rsidP="00FB09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secretario general de Instituciones Penitenciarias, Ángel Luis Or</w:t>
      </w:r>
      <w:r w:rsidR="00A02965">
        <w:rPr>
          <w:rFonts w:ascii="Arial" w:hAnsi="Arial" w:cs="Arial"/>
          <w:sz w:val="22"/>
          <w:szCs w:val="22"/>
        </w:rPr>
        <w:t>tiz</w:t>
      </w:r>
      <w:r>
        <w:rPr>
          <w:rFonts w:ascii="Arial" w:hAnsi="Arial" w:cs="Arial"/>
          <w:sz w:val="22"/>
          <w:szCs w:val="22"/>
        </w:rPr>
        <w:t>, también presente en la inauguración, ha refrendado las palabras de Salvador González, al considerar que carece de sentido que la asistencia letrada sea imprescindible hasta el momento de la condena y dej</w:t>
      </w:r>
      <w:r w:rsidR="00A0296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de ser</w:t>
      </w:r>
      <w:r w:rsidR="00A02965"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z w:val="22"/>
          <w:szCs w:val="22"/>
        </w:rPr>
        <w:t xml:space="preserve"> en el momento en que el condenado entra en prisión.</w:t>
      </w:r>
    </w:p>
    <w:p w14:paraId="7395E64D" w14:textId="2EDAF4A8" w:rsidR="00FB0963" w:rsidRPr="00FB0963" w:rsidRDefault="00FB0963" w:rsidP="00FB096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0963">
        <w:rPr>
          <w:rFonts w:ascii="Arial" w:hAnsi="Arial" w:cs="Arial"/>
          <w:sz w:val="22"/>
          <w:szCs w:val="22"/>
        </w:rPr>
        <w:t xml:space="preserve">El presidente </w:t>
      </w:r>
      <w:r w:rsidR="00B70242">
        <w:rPr>
          <w:rFonts w:ascii="Arial" w:hAnsi="Arial" w:cs="Arial"/>
          <w:sz w:val="22"/>
          <w:szCs w:val="22"/>
        </w:rPr>
        <w:t xml:space="preserve">de la Abogacía </w:t>
      </w:r>
      <w:r w:rsidRPr="00FB0963">
        <w:rPr>
          <w:rFonts w:ascii="Arial" w:hAnsi="Arial" w:cs="Arial"/>
          <w:sz w:val="22"/>
          <w:szCs w:val="22"/>
        </w:rPr>
        <w:t xml:space="preserve">también tuvo palabras de reconocimiento para </w:t>
      </w:r>
      <w:r w:rsidRPr="00FB0963">
        <w:rPr>
          <w:rFonts w:ascii="Arial" w:hAnsi="Arial" w:cs="Arial"/>
          <w:bCs/>
          <w:sz w:val="22"/>
          <w:szCs w:val="22"/>
        </w:rPr>
        <w:t xml:space="preserve">los Servicios de Orientación Jurídica Penitenciaria que se han creado ya en 32 Colegios y </w:t>
      </w:r>
      <w:r w:rsidRPr="00FB0963">
        <w:rPr>
          <w:rFonts w:ascii="Arial" w:hAnsi="Arial" w:cs="Arial"/>
          <w:bCs/>
          <w:sz w:val="22"/>
          <w:szCs w:val="22"/>
        </w:rPr>
        <w:lastRenderedPageBreak/>
        <w:t>para todos los que velan por los derechos de las personas privadas de libertad</w:t>
      </w:r>
      <w:r>
        <w:rPr>
          <w:rFonts w:ascii="Arial" w:hAnsi="Arial" w:cs="Arial"/>
          <w:bCs/>
          <w:sz w:val="22"/>
          <w:szCs w:val="22"/>
        </w:rPr>
        <w:t>:</w:t>
      </w:r>
      <w:r w:rsidRPr="00FB0963">
        <w:rPr>
          <w:rFonts w:ascii="Arial" w:hAnsi="Arial" w:cs="Arial"/>
          <w:bCs/>
          <w:sz w:val="22"/>
          <w:szCs w:val="22"/>
        </w:rPr>
        <w:t xml:space="preserve"> “M</w:t>
      </w:r>
      <w:r w:rsidRPr="00FB0963">
        <w:rPr>
          <w:rFonts w:ascii="Arial" w:hAnsi="Arial" w:cs="Arial"/>
          <w:sz w:val="22"/>
          <w:szCs w:val="22"/>
        </w:rPr>
        <w:t xml:space="preserve">erecéis nuestro reconocimiento y gratitud, porque </w:t>
      </w:r>
      <w:r w:rsidRPr="00FB0963">
        <w:rPr>
          <w:rFonts w:ascii="Arial" w:hAnsi="Arial" w:cs="Arial"/>
          <w:bCs/>
          <w:sz w:val="22"/>
          <w:szCs w:val="22"/>
        </w:rPr>
        <w:t>simbolizáis lo mejor de la Abogacía”.</w:t>
      </w:r>
    </w:p>
    <w:p w14:paraId="58B104EB" w14:textId="77777777" w:rsidR="00FB0963" w:rsidRPr="00FB0963" w:rsidRDefault="00FB0963" w:rsidP="00FB09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0963">
        <w:rPr>
          <w:rFonts w:ascii="Arial" w:hAnsi="Arial" w:cs="Arial"/>
          <w:bCs/>
          <w:sz w:val="22"/>
          <w:szCs w:val="22"/>
        </w:rPr>
        <w:t xml:space="preserve">Sobre el proceso de autorización </w:t>
      </w:r>
      <w:r w:rsidRPr="00FB0963">
        <w:rPr>
          <w:rFonts w:ascii="Arial" w:hAnsi="Arial" w:cs="Arial"/>
          <w:sz w:val="22"/>
          <w:szCs w:val="22"/>
        </w:rPr>
        <w:t>de acceso a las prisiones con dispositivos electrónicos González señaló que “está resultando un camino arduo, pero con resultados esperanzadores”.</w:t>
      </w:r>
    </w:p>
    <w:p w14:paraId="1A168969" w14:textId="77777777" w:rsidR="00FB0963" w:rsidRDefault="00FB0963" w:rsidP="00FB09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0963">
        <w:rPr>
          <w:rFonts w:ascii="Arial" w:hAnsi="Arial" w:cs="Arial"/>
          <w:sz w:val="22"/>
          <w:szCs w:val="22"/>
        </w:rPr>
        <w:t>Y también hizo alusión a la asistencia letrada mediante videoconferencia, gracias a un convenio que ya han suscrito 51 Colegios de la Abogacía. “Sentadas ya las bases, ahora es esencial que su implantación se extienda y consolide al mayor número de prisiones, de forma que podamos mejorar la relación con nuestros clientes que cumplen condenas de privación de libertad”, señaló.</w:t>
      </w:r>
    </w:p>
    <w:p w14:paraId="20E89E96" w14:textId="22B43955" w:rsidR="00B70242" w:rsidRPr="00FB0963" w:rsidRDefault="00B70242" w:rsidP="00FB09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decano de Ciudad Real, Cipriano Arteche, anfitrión de las Jornadas, informó de la apertura de su propio Servicio de Orientación Jurídica Penitenciario, que será sufragado por la Diputación Provincial</w:t>
      </w:r>
      <w:r w:rsidR="00A02965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prestará servicio a las dos prisiones que hay en su territorio: Herrera de la Mancha y Alcázar de San Juan, y para el cual se han formado a 250 abogados y abogadas de la provincia manchega.</w:t>
      </w:r>
    </w:p>
    <w:p w14:paraId="6DA2330B" w14:textId="47D91223" w:rsidR="00FB0963" w:rsidRDefault="00FB0963" w:rsidP="00FB0963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B0963">
        <w:rPr>
          <w:rFonts w:ascii="Arial" w:hAnsi="Arial" w:cs="Arial"/>
        </w:rPr>
        <w:t>Durante dos días, bajo el lema “Derechos en prisión: compromiso y acción”, expertos en la materia debatir</w:t>
      </w:r>
      <w:r w:rsidR="00372CDB">
        <w:rPr>
          <w:rFonts w:ascii="Arial" w:hAnsi="Arial" w:cs="Arial"/>
        </w:rPr>
        <w:t xml:space="preserve">án </w:t>
      </w:r>
      <w:r w:rsidRPr="00FB0963">
        <w:rPr>
          <w:rFonts w:ascii="Arial" w:hAnsi="Arial" w:cs="Arial"/>
        </w:rPr>
        <w:t xml:space="preserve">cuestiones como el tercer grado, la justicia restaurativa, la evolución normativa, la aplicación del derecho de familia en prisión, o las medidas </w:t>
      </w:r>
      <w:proofErr w:type="spellStart"/>
      <w:r w:rsidRPr="00FB0963">
        <w:rPr>
          <w:rFonts w:ascii="Arial" w:hAnsi="Arial" w:cs="Arial"/>
        </w:rPr>
        <w:t>repatriativas</w:t>
      </w:r>
      <w:proofErr w:type="spellEnd"/>
      <w:r w:rsidRPr="00FB0963">
        <w:rPr>
          <w:rFonts w:ascii="Arial" w:hAnsi="Arial" w:cs="Arial"/>
        </w:rPr>
        <w:t xml:space="preserve"> de personas extranjeras. </w:t>
      </w:r>
    </w:p>
    <w:p w14:paraId="49B1E229" w14:textId="49B2C837" w:rsidR="00FB0963" w:rsidRDefault="00FB0963" w:rsidP="00FB0963">
      <w:pPr>
        <w:pStyle w:val="NormalWeb"/>
        <w:shd w:val="clear" w:color="auto" w:fill="FFFFFF"/>
        <w:spacing w:line="360" w:lineRule="auto"/>
        <w:jc w:val="both"/>
        <w:rPr>
          <w:sz w:val="32"/>
          <w:szCs w:val="28"/>
        </w:rPr>
      </w:pPr>
      <w:r>
        <w:rPr>
          <w:rFonts w:ascii="Arial" w:hAnsi="Arial" w:cs="Arial"/>
        </w:rPr>
        <w:t xml:space="preserve">También se hablará de la sanidad en los centros, tema que, como señaló González, </w:t>
      </w:r>
      <w:r w:rsidRPr="00FB0963">
        <w:rPr>
          <w:rFonts w:ascii="Arial" w:hAnsi="Arial" w:cs="Arial"/>
        </w:rPr>
        <w:t>“sigue siendo un problema sin resolver”. El presidente de la Abogacía se refirió en concreto a la falta de médicos, y a la necesidad de una mejor atención sanitaria especializada de las patologías psiquiátricas. “El derecho a la salud es un derecho universal que no puede verse limitado por la privación de libertad”, destacó González.</w:t>
      </w:r>
      <w:r>
        <w:rPr>
          <w:sz w:val="32"/>
          <w:szCs w:val="28"/>
        </w:rPr>
        <w:t xml:space="preserve"> </w:t>
      </w:r>
    </w:p>
    <w:p w14:paraId="0F4AECDD" w14:textId="77777777" w:rsidR="00FB0963" w:rsidRDefault="00FB0963" w:rsidP="00FB0963">
      <w:pPr>
        <w:pStyle w:val="NormalWeb"/>
        <w:shd w:val="clear" w:color="auto" w:fill="FFFFFF"/>
        <w:spacing w:line="288" w:lineRule="auto"/>
        <w:jc w:val="both"/>
        <w:rPr>
          <w:sz w:val="32"/>
          <w:szCs w:val="28"/>
        </w:rPr>
      </w:pPr>
    </w:p>
    <w:p w14:paraId="79766581" w14:textId="4BEC5F96" w:rsidR="00716F62" w:rsidRDefault="00FE7D8A" w:rsidP="00FE7D8A">
      <w:pPr>
        <w:spacing w:before="0"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 </w:t>
      </w:r>
      <w:r w:rsidR="00716F62">
        <w:rPr>
          <w:rFonts w:asciiTheme="minorHAnsi" w:hAnsiTheme="minorHAnsi" w:cstheme="minorHAnsi"/>
          <w:b/>
          <w:bCs/>
        </w:rPr>
        <w:t>más información</w:t>
      </w:r>
    </w:p>
    <w:p w14:paraId="31D0C273" w14:textId="77777777" w:rsid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  <w:b/>
          <w:bCs/>
        </w:rPr>
      </w:pPr>
    </w:p>
    <w:p w14:paraId="34D55B77" w14:textId="4B951AB1" w:rsid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Dpto. de Comunicación del Consejo General de la Abogacía Española</w:t>
      </w:r>
    </w:p>
    <w:p w14:paraId="322DDE6E" w14:textId="4BD11A7C" w:rsidR="00716F62" w:rsidRP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</w:rPr>
      </w:pPr>
      <w:r w:rsidRPr="00716F62">
        <w:rPr>
          <w:rFonts w:asciiTheme="minorHAnsi" w:hAnsiTheme="minorHAnsi" w:cstheme="minorHAnsi"/>
        </w:rPr>
        <w:t xml:space="preserve">Paseo de Recoletos nº </w:t>
      </w:r>
      <w:r w:rsidR="00FB0963">
        <w:rPr>
          <w:rFonts w:asciiTheme="minorHAnsi" w:hAnsiTheme="minorHAnsi" w:cstheme="minorHAnsi"/>
        </w:rPr>
        <w:t>13</w:t>
      </w:r>
    </w:p>
    <w:p w14:paraId="18D79EB6" w14:textId="3459E155" w:rsidR="00716F62" w:rsidRP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</w:rPr>
      </w:pPr>
      <w:r w:rsidRPr="00716F62">
        <w:rPr>
          <w:rFonts w:asciiTheme="minorHAnsi" w:hAnsiTheme="minorHAnsi" w:cstheme="minorHAnsi"/>
        </w:rPr>
        <w:t>Tfno. 91 532 17 69</w:t>
      </w:r>
    </w:p>
    <w:p w14:paraId="77265896" w14:textId="25B5E758" w:rsidR="00716F62" w:rsidRP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</w:rPr>
      </w:pPr>
      <w:hyperlink r:id="rId8" w:history="1">
        <w:r w:rsidRPr="00716F62">
          <w:rPr>
            <w:rStyle w:val="Hipervnculo"/>
            <w:rFonts w:asciiTheme="minorHAnsi" w:hAnsiTheme="minorHAnsi" w:cstheme="minorHAnsi"/>
          </w:rPr>
          <w:t>prensa@abogacia.es</w:t>
        </w:r>
      </w:hyperlink>
      <w:r w:rsidRPr="00716F62">
        <w:rPr>
          <w:rFonts w:asciiTheme="minorHAnsi" w:hAnsiTheme="minorHAnsi" w:cstheme="minorHAnsi"/>
        </w:rPr>
        <w:t xml:space="preserve"> </w:t>
      </w:r>
    </w:p>
    <w:p w14:paraId="4E78EAFE" w14:textId="5AAE46A8" w:rsidR="00716F62" w:rsidRPr="00716F62" w:rsidRDefault="00716F62" w:rsidP="0071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</w:rPr>
      </w:pPr>
      <w:hyperlink r:id="rId9" w:history="1">
        <w:r w:rsidRPr="00716F62">
          <w:rPr>
            <w:rStyle w:val="Hipervnculo"/>
            <w:rFonts w:asciiTheme="minorHAnsi" w:hAnsiTheme="minorHAnsi" w:cstheme="minorHAnsi"/>
          </w:rPr>
          <w:t>www.abogacia.es</w:t>
        </w:r>
      </w:hyperlink>
      <w:r w:rsidRPr="00716F62">
        <w:rPr>
          <w:rFonts w:asciiTheme="minorHAnsi" w:hAnsiTheme="minorHAnsi" w:cstheme="minorHAnsi"/>
        </w:rPr>
        <w:t xml:space="preserve"> </w:t>
      </w:r>
    </w:p>
    <w:p w14:paraId="6AD9922A" w14:textId="77777777" w:rsidR="00716F62" w:rsidRPr="000705AB" w:rsidRDefault="00716F62" w:rsidP="000705AB">
      <w:pPr>
        <w:spacing w:before="240" w:after="120" w:line="240" w:lineRule="auto"/>
        <w:rPr>
          <w:rFonts w:asciiTheme="minorHAnsi" w:hAnsiTheme="minorHAnsi" w:cstheme="minorHAnsi"/>
          <w:b/>
          <w:bCs/>
        </w:rPr>
      </w:pPr>
    </w:p>
    <w:sectPr w:rsidR="00716F62" w:rsidRPr="000705AB" w:rsidSect="00745540">
      <w:foot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E6847" w14:textId="77777777" w:rsidR="00A056D4" w:rsidRDefault="00A056D4" w:rsidP="00745540">
      <w:pPr>
        <w:spacing w:before="0" w:after="0" w:line="240" w:lineRule="auto"/>
      </w:pPr>
      <w:r>
        <w:separator/>
      </w:r>
    </w:p>
  </w:endnote>
  <w:endnote w:type="continuationSeparator" w:id="0">
    <w:p w14:paraId="7F0727A8" w14:textId="77777777" w:rsidR="00A056D4" w:rsidRDefault="00A056D4" w:rsidP="007455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89D0" w14:textId="1519D934" w:rsidR="00745540" w:rsidRDefault="00745540" w:rsidP="00745540">
    <w:pPr>
      <w:pStyle w:val="Piedepgina"/>
      <w:spacing w:after="100" w:afterAutospacing="1"/>
      <w:jc w:val="center"/>
    </w:pPr>
    <w:r w:rsidRPr="00EC18E2">
      <w:rPr>
        <w:sz w:val="18"/>
        <w:szCs w:val="18"/>
      </w:rPr>
      <w:t>Consejo General de la Abogacía Española</w:t>
    </w:r>
    <w:r>
      <w:rPr>
        <w:sz w:val="18"/>
        <w:szCs w:val="18"/>
      </w:rPr>
      <w:br/>
    </w:r>
    <w:proofErr w:type="spellStart"/>
    <w:r w:rsidRPr="00EC18E2">
      <w:rPr>
        <w:sz w:val="18"/>
        <w:szCs w:val="18"/>
      </w:rPr>
      <w:t>Tfno</w:t>
    </w:r>
    <w:proofErr w:type="spellEnd"/>
    <w:r w:rsidRPr="00EC18E2">
      <w:rPr>
        <w:sz w:val="18"/>
        <w:szCs w:val="18"/>
      </w:rPr>
      <w:t>: 9</w:t>
    </w:r>
    <w:r>
      <w:rPr>
        <w:sz w:val="18"/>
        <w:szCs w:val="18"/>
      </w:rPr>
      <w:t xml:space="preserve">1523 25 93; Fax: 91 532 64 38; </w:t>
    </w:r>
    <w:r>
      <w:rPr>
        <w:sz w:val="18"/>
        <w:szCs w:val="18"/>
      </w:rPr>
      <w:br/>
    </w:r>
    <w:r w:rsidRPr="00EC18E2">
      <w:rPr>
        <w:sz w:val="18"/>
        <w:szCs w:val="18"/>
      </w:rPr>
      <w:t>Pº de Recoletos, 13; 28004-MADRID</w:t>
    </w:r>
    <w:r>
      <w:rPr>
        <w:sz w:val="18"/>
        <w:szCs w:val="18"/>
      </w:rPr>
      <w:br/>
    </w:r>
    <w:hyperlink r:id="rId1" w:history="1">
      <w:r w:rsidRPr="00F437A2">
        <w:rPr>
          <w:rStyle w:val="Hipervnculo"/>
          <w:sz w:val="18"/>
          <w:szCs w:val="18"/>
        </w:rPr>
        <w:t>prensa@abogacia.es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A05F" w14:textId="77777777" w:rsidR="00A056D4" w:rsidRDefault="00A056D4" w:rsidP="00745540">
      <w:pPr>
        <w:spacing w:before="0" w:after="0" w:line="240" w:lineRule="auto"/>
      </w:pPr>
      <w:r>
        <w:separator/>
      </w:r>
    </w:p>
  </w:footnote>
  <w:footnote w:type="continuationSeparator" w:id="0">
    <w:p w14:paraId="425EA2BE" w14:textId="77777777" w:rsidR="00A056D4" w:rsidRDefault="00A056D4" w:rsidP="007455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F551E"/>
    <w:multiLevelType w:val="hybridMultilevel"/>
    <w:tmpl w:val="3D52C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4419"/>
    <w:multiLevelType w:val="hybridMultilevel"/>
    <w:tmpl w:val="5BD09E96"/>
    <w:lvl w:ilvl="0" w:tplc="F3883B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788A"/>
    <w:multiLevelType w:val="hybridMultilevel"/>
    <w:tmpl w:val="2654B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0474"/>
    <w:multiLevelType w:val="hybridMultilevel"/>
    <w:tmpl w:val="00DC3020"/>
    <w:lvl w:ilvl="0" w:tplc="9EE094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C7AB2"/>
    <w:multiLevelType w:val="hybridMultilevel"/>
    <w:tmpl w:val="C0C4B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768457">
    <w:abstractNumId w:val="2"/>
  </w:num>
  <w:num w:numId="2" w16cid:durableId="285897392">
    <w:abstractNumId w:val="1"/>
  </w:num>
  <w:num w:numId="3" w16cid:durableId="657345637">
    <w:abstractNumId w:val="4"/>
  </w:num>
  <w:num w:numId="4" w16cid:durableId="1457213831">
    <w:abstractNumId w:val="3"/>
  </w:num>
  <w:num w:numId="5" w16cid:durableId="73486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0"/>
    <w:rsid w:val="000705AB"/>
    <w:rsid w:val="000B086A"/>
    <w:rsid w:val="000F0ADE"/>
    <w:rsid w:val="001E377C"/>
    <w:rsid w:val="00354786"/>
    <w:rsid w:val="00367301"/>
    <w:rsid w:val="00372CDB"/>
    <w:rsid w:val="00454393"/>
    <w:rsid w:val="004D3F9C"/>
    <w:rsid w:val="005F5FAF"/>
    <w:rsid w:val="00716F62"/>
    <w:rsid w:val="00745540"/>
    <w:rsid w:val="00A02965"/>
    <w:rsid w:val="00A056D4"/>
    <w:rsid w:val="00AE517C"/>
    <w:rsid w:val="00B70242"/>
    <w:rsid w:val="00B84D1E"/>
    <w:rsid w:val="00D351DE"/>
    <w:rsid w:val="00FB0963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06DC"/>
  <w15:docId w15:val="{8B0C9479-5512-45CB-8984-7C9D0CCA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45540"/>
    <w:pPr>
      <w:spacing w:before="120" w:after="60" w:line="288" w:lineRule="auto"/>
    </w:pPr>
    <w:rPr>
      <w:rFonts w:ascii="Optima" w:eastAsia="Times New Roman" w:hAnsi="Optim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5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5540"/>
    <w:rPr>
      <w:rFonts w:ascii="Optima" w:eastAsia="Times New Roman" w:hAnsi="Optim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455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540"/>
    <w:rPr>
      <w:rFonts w:ascii="Optima" w:eastAsia="Times New Roman" w:hAnsi="Optima" w:cs="Times New Roman"/>
      <w:sz w:val="24"/>
      <w:szCs w:val="24"/>
      <w:lang w:eastAsia="es-ES"/>
    </w:rPr>
  </w:style>
  <w:style w:type="character" w:styleId="Hipervnculo">
    <w:name w:val="Hyperlink"/>
    <w:rsid w:val="007455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05AB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6F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4786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rsid w:val="00FB0963"/>
    <w:pPr>
      <w:spacing w:before="0"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B09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0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bogaci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bogacia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abogac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SÁNCHEZ LLAMAS</dc:creator>
  <cp:keywords/>
  <dc:description/>
  <cp:lastModifiedBy>MARIA DEL VAL LÓPEZ NOTARIO</cp:lastModifiedBy>
  <cp:revision>2</cp:revision>
  <dcterms:created xsi:type="dcterms:W3CDTF">2024-11-07T11:00:00Z</dcterms:created>
  <dcterms:modified xsi:type="dcterms:W3CDTF">2024-11-07T11:00:00Z</dcterms:modified>
</cp:coreProperties>
</file>