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8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361"/>
        <w:gridCol w:w="6359"/>
      </w:tblGrid>
      <w:tr w:rsidR="00745540" w:rsidRPr="00EC18E2" w14:paraId="5FFE51E3" w14:textId="77777777" w:rsidTr="00D440C2">
        <w:trPr>
          <w:trHeight w:val="1267"/>
        </w:trPr>
        <w:tc>
          <w:tcPr>
            <w:tcW w:w="2361" w:type="dxa"/>
          </w:tcPr>
          <w:p w14:paraId="19C7150A" w14:textId="77777777" w:rsidR="00745540" w:rsidRPr="000118AD" w:rsidRDefault="00745540" w:rsidP="00406BD1">
            <w:pPr>
              <w:pStyle w:val="Encabezado"/>
            </w:pPr>
            <w:bookmarkStart w:id="0" w:name="_Hlk179452165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2A71D51" wp14:editId="601C6CF0">
                  <wp:simplePos x="0" y="0"/>
                  <wp:positionH relativeFrom="column">
                    <wp:posOffset>-232727</wp:posOffset>
                  </wp:positionH>
                  <wp:positionV relativeFrom="paragraph">
                    <wp:posOffset>-158750</wp:posOffset>
                  </wp:positionV>
                  <wp:extent cx="2001260" cy="724278"/>
                  <wp:effectExtent l="0" t="0" r="0" b="0"/>
                  <wp:wrapNone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260" cy="72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1" w:type="dxa"/>
          </w:tcPr>
          <w:p w14:paraId="057EF18F" w14:textId="77777777" w:rsidR="00745540" w:rsidRPr="00EC18E2" w:rsidRDefault="00745540" w:rsidP="00406BD1"/>
        </w:tc>
        <w:tc>
          <w:tcPr>
            <w:tcW w:w="6359" w:type="dxa"/>
          </w:tcPr>
          <w:p w14:paraId="7205B504" w14:textId="77777777" w:rsidR="00745540" w:rsidRPr="00BB05F0" w:rsidRDefault="00745540" w:rsidP="00406BD1">
            <w:r w:rsidRPr="00BB05F0">
              <w:t>Departamento de Comunicación y Marketing</w:t>
            </w:r>
          </w:p>
        </w:tc>
      </w:tr>
    </w:tbl>
    <w:p w14:paraId="3A985FFC" w14:textId="2177A988" w:rsidR="00745540" w:rsidRPr="00E954BB" w:rsidRDefault="007F233F" w:rsidP="00D3488F">
      <w:pPr>
        <w:pStyle w:val="Encabezado"/>
        <w:jc w:val="center"/>
        <w:rPr>
          <w:b/>
          <w:bCs/>
        </w:rPr>
      </w:pPr>
      <w:bookmarkStart w:id="1" w:name="_Hlk167804996"/>
      <w:r w:rsidRPr="00E954BB">
        <w:rPr>
          <w:b/>
          <w:bCs/>
        </w:rPr>
        <w:t>NOTA DE PRENSA</w:t>
      </w:r>
    </w:p>
    <w:p w14:paraId="43636D52" w14:textId="77777777" w:rsidR="00D3488F" w:rsidRPr="00D3488F" w:rsidRDefault="00D3488F" w:rsidP="00D3488F">
      <w:pPr>
        <w:pStyle w:val="Encabezado"/>
        <w:jc w:val="center"/>
        <w:rPr>
          <w:b/>
          <w:bCs/>
          <w:u w:val="single"/>
        </w:rPr>
      </w:pPr>
    </w:p>
    <w:p w14:paraId="698B5B2F" w14:textId="3CA5B2D3" w:rsidR="00EC2F32" w:rsidRPr="0037702F" w:rsidRDefault="0037702F" w:rsidP="00EC2F32">
      <w:pPr>
        <w:jc w:val="center"/>
        <w:rPr>
          <w:sz w:val="42"/>
          <w:szCs w:val="42"/>
        </w:rPr>
      </w:pPr>
      <w:r w:rsidRPr="0037702F">
        <w:rPr>
          <w:b/>
          <w:bCs/>
          <w:sz w:val="42"/>
          <w:szCs w:val="42"/>
        </w:rPr>
        <w:t>La Abogacía y el Poder Judicial acuerdan impulsar un</w:t>
      </w:r>
      <w:r>
        <w:rPr>
          <w:b/>
          <w:bCs/>
          <w:sz w:val="42"/>
          <w:szCs w:val="42"/>
        </w:rPr>
        <w:t>a</w:t>
      </w:r>
      <w:r w:rsidRPr="0037702F">
        <w:rPr>
          <w:b/>
          <w:bCs/>
          <w:sz w:val="42"/>
          <w:szCs w:val="42"/>
        </w:rPr>
        <w:t xml:space="preserve"> colaboración más intensa para mejorar el servicio de Justicia</w:t>
      </w:r>
    </w:p>
    <w:p w14:paraId="0C0BDBF9" w14:textId="77777777" w:rsidR="00EC2F32" w:rsidRDefault="00EC2F32" w:rsidP="00EC2F32">
      <w:pPr>
        <w:pStyle w:val="Prrafodelista"/>
      </w:pPr>
    </w:p>
    <w:p w14:paraId="13457171" w14:textId="763A6A0B" w:rsidR="00555414" w:rsidRDefault="0037702F" w:rsidP="005E471B">
      <w:pPr>
        <w:pStyle w:val="Prrafodelista"/>
        <w:numPr>
          <w:ilvl w:val="0"/>
          <w:numId w:val="3"/>
        </w:numPr>
      </w:pPr>
      <w:r>
        <w:t xml:space="preserve">Los presidentes de ambas instituciones coinciden en </w:t>
      </w:r>
      <w:r w:rsidR="00A435E5">
        <w:t>la oportunidad de crear</w:t>
      </w:r>
      <w:r>
        <w:t xml:space="preserve"> comisiones </w:t>
      </w:r>
      <w:r w:rsidR="00345E1F">
        <w:t xml:space="preserve">mixtas formadas por la Abogacía, el Poder Judicial y </w:t>
      </w:r>
      <w:r>
        <w:t xml:space="preserve">la Administración de Justicia </w:t>
      </w:r>
    </w:p>
    <w:p w14:paraId="258345C7" w14:textId="77777777" w:rsidR="00A435E5" w:rsidRDefault="00A435E5" w:rsidP="00A435E5">
      <w:pPr>
        <w:pStyle w:val="Prrafodelista"/>
      </w:pPr>
    </w:p>
    <w:p w14:paraId="6D3EA5D3" w14:textId="39103FEB" w:rsidR="00AF6E40" w:rsidRDefault="00854DF6" w:rsidP="00C50E0D">
      <w:pPr>
        <w:pStyle w:val="Prrafodelista"/>
        <w:numPr>
          <w:ilvl w:val="0"/>
          <w:numId w:val="3"/>
        </w:numPr>
      </w:pPr>
      <w:r>
        <w:t>Ambos consejos generales creen imprescindible que se dote de más recursos a la Administración de Justicia y al Turno de oficio</w:t>
      </w:r>
    </w:p>
    <w:p w14:paraId="06AD8F0F" w14:textId="77777777" w:rsidR="0037702F" w:rsidRDefault="0037702F" w:rsidP="0037702F">
      <w:pPr>
        <w:pStyle w:val="Prrafodelista"/>
      </w:pPr>
    </w:p>
    <w:p w14:paraId="026347D7" w14:textId="29AACA43" w:rsidR="000705AB" w:rsidRPr="00E30C1E" w:rsidRDefault="005F5FAF" w:rsidP="00406BD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E32B3" wp14:editId="029161E9">
                <wp:simplePos x="0" y="0"/>
                <wp:positionH relativeFrom="column">
                  <wp:posOffset>5715</wp:posOffset>
                </wp:positionH>
                <wp:positionV relativeFrom="paragraph">
                  <wp:posOffset>151764</wp:posOffset>
                </wp:positionV>
                <wp:extent cx="5819775" cy="0"/>
                <wp:effectExtent l="0" t="0" r="0" b="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F1027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95pt" to="458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8hpQEAAJ4DAAAOAAAAZHJzL2Uyb0RvYy54bWysU01P3DAQvVfiP1i+s8kiUWi0WQ4guFSA&#10;2sLdOOONJdtj2e4m++87dnYDggoJxMXyx7w3896MVxejNWwLIWp0LV8uas7ASey027T84c/18Tln&#10;MQnXCYMOWr6DyC/WR99Wg2/gBHs0HQRGJC42g295n5JvqirKHqyIC/Tg6FFhsCLRMWyqLoiB2K2p&#10;Tur6ezVg6HxACTHS7dX0yNeFXymQ6U6pCImZllNtqayhrE95rdYr0WyC8L2W+zLEJ6qwQjtKOlNd&#10;iSTY36DfUFktA0ZUaSHRVqiUllA0kJpl/UrN7154KFrInOhnm+LX0crb7aW7D2TD4GMT/X3IKkYV&#10;LFNG+0fqadFFlbKx2LabbYMxMUmXp+fLH2dnp5zJw1s1UWQqH2K6AbQsb1putMuKRCO2P2OitBR6&#10;CKHDcxFll3YGcrBxv0Ax3VGyqZwyH3BpAtsK6qyQElxa5m4SX4nOMKWNmYF1SfsucB+foVBm5yPg&#10;GVEyo0sz2GqH4X/Z03goWU3xBwcm3dmCJ+x2pT3FGhqConA/sHnKXp4L/Plbrf8BAAD//wMAUEsD&#10;BBQABgAIAAAAIQDM/Oc83AAAAAYBAAAPAAAAZHJzL2Rvd25yZXYueG1sTI5BS8NAEIXvgv9hGcGL&#10;tJtGURuzKSLqoZ5aK+htkh2T0OxsyG7T+O8d8aCnx7z3ePPlq8l1aqQhtJ4NLOYJKOLK25ZrA7vX&#10;p9ktqBCRLXaeycAXBVgVpyc5ZtYfeUPjNtZKRjhkaKCJsc+0DlVDDsPc98SSffrBYZRzqLUd8Cjj&#10;rtNpklxrhy3LhwZ7emio2m8PzsBH8OHxbV2Oz/vNesKLl5i+V9aY87Pp/g5UpCn+leEHX9ChEKbS&#10;H9gG1RlYSs9Aeikq6XJxcwWq/DV0kev/+MU3AAAA//8DAFBLAQItABQABgAIAAAAIQC2gziS/gAA&#10;AOEBAAATAAAAAAAAAAAAAAAAAAAAAABbQ29udGVudF9UeXBlc10ueG1sUEsBAi0AFAAGAAgAAAAh&#10;ADj9If/WAAAAlAEAAAsAAAAAAAAAAAAAAAAALwEAAF9yZWxzLy5yZWxzUEsBAi0AFAAGAAgAAAAh&#10;AFOGvyGlAQAAngMAAA4AAAAAAAAAAAAAAAAALgIAAGRycy9lMm9Eb2MueG1sUEsBAi0AFAAGAAgA&#10;AAAhAMz85zzcAAAABgEAAA8AAAAAAAAAAAAAAAAA/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58A8ABE8" w14:textId="6F38D7D5" w:rsidR="0098632F" w:rsidRDefault="0037702F" w:rsidP="00406BD1">
      <w:r>
        <w:rPr>
          <w:b/>
          <w:bCs/>
        </w:rPr>
        <w:t>24</w:t>
      </w:r>
      <w:r w:rsidR="001E7551" w:rsidRPr="00E30C1E">
        <w:rPr>
          <w:b/>
          <w:bCs/>
        </w:rPr>
        <w:t>-</w:t>
      </w:r>
      <w:r w:rsidR="00910EDA">
        <w:rPr>
          <w:b/>
          <w:bCs/>
        </w:rPr>
        <w:t>10</w:t>
      </w:r>
      <w:r w:rsidR="001E7551" w:rsidRPr="00E30C1E">
        <w:rPr>
          <w:b/>
          <w:bCs/>
        </w:rPr>
        <w:t>-202</w:t>
      </w:r>
      <w:r w:rsidR="00BA4758" w:rsidRPr="00E30C1E">
        <w:rPr>
          <w:b/>
          <w:bCs/>
        </w:rPr>
        <w:t>4</w:t>
      </w:r>
      <w:r w:rsidR="005F5FAF" w:rsidRPr="00E30C1E">
        <w:rPr>
          <w:b/>
          <w:bCs/>
        </w:rPr>
        <w:t xml:space="preserve">. </w:t>
      </w:r>
      <w:r w:rsidR="00910EDA" w:rsidRPr="00910EDA">
        <w:t>L</w:t>
      </w:r>
      <w:r w:rsidR="00717489">
        <w:t>os presidentes de l</w:t>
      </w:r>
      <w:r w:rsidR="00910EDA" w:rsidRPr="00910EDA">
        <w:t>a</w:t>
      </w:r>
      <w:r w:rsidR="00F97191">
        <w:t xml:space="preserve"> Abogacía Española </w:t>
      </w:r>
      <w:r w:rsidR="00717489">
        <w:t xml:space="preserve">y del Consejo General del Poder Judicial, Salvador González </w:t>
      </w:r>
      <w:r w:rsidR="009D7D3B">
        <w:t>e</w:t>
      </w:r>
      <w:r w:rsidR="00717489">
        <w:t xml:space="preserve"> </w:t>
      </w:r>
      <w:r w:rsidR="00D70D0B">
        <w:t>Isabel</w:t>
      </w:r>
      <w:r w:rsidR="00717489">
        <w:t xml:space="preserve"> Perelló, han acordado hoy impulsar una colaboración más intensa entre ambas instituciones para contribuir a mejorar el funcionamiento del servicio público de justicia.</w:t>
      </w:r>
    </w:p>
    <w:p w14:paraId="7427EC42" w14:textId="18AC34B0" w:rsidR="00717489" w:rsidRDefault="00717489" w:rsidP="00406BD1">
      <w:r>
        <w:t xml:space="preserve">En el primer encuentro oficial desde la reciente toma de posesión de ambos presidentes, tanto González como Perelló han coincidido en recalcar que es preciso </w:t>
      </w:r>
      <w:r w:rsidR="002A65B4">
        <w:t>dotar de</w:t>
      </w:r>
      <w:r>
        <w:t xml:space="preserve"> </w:t>
      </w:r>
      <w:r w:rsidR="002A65B4">
        <w:t xml:space="preserve">nuevas </w:t>
      </w:r>
      <w:r>
        <w:t>acciones el convenio marco de colaboración firmado entre ambos consejos hace ahora un año.</w:t>
      </w:r>
    </w:p>
    <w:p w14:paraId="0DA8539C" w14:textId="413EF9F2" w:rsidR="00D70D0B" w:rsidRDefault="00D70D0B" w:rsidP="00406BD1">
      <w:r>
        <w:t>Asimismo, los dos presidentes han comentado la importancia de</w:t>
      </w:r>
      <w:r w:rsidR="00345E1F">
        <w:t xml:space="preserve"> </w:t>
      </w:r>
      <w:r w:rsidR="00BC5E8B">
        <w:t>que pudieran</w:t>
      </w:r>
      <w:r>
        <w:t xml:space="preserve"> </w:t>
      </w:r>
      <w:r w:rsidR="00BC5E8B">
        <w:t>crearse</w:t>
      </w:r>
      <w:r>
        <w:t xml:space="preserve"> comisiones mixtas donde se </w:t>
      </w:r>
      <w:r w:rsidR="00BC5E8B">
        <w:t>potencie</w:t>
      </w:r>
      <w:r>
        <w:t xml:space="preserve"> la colaboración e</w:t>
      </w:r>
      <w:r w:rsidR="00345E1F">
        <w:t>ntre</w:t>
      </w:r>
      <w:r>
        <w:t xml:space="preserve"> la Abogacía, el Poder Judicial y la Administraciones Públicas responsables </w:t>
      </w:r>
      <w:r w:rsidR="00CB07D2">
        <w:t>en cada comunidad autónoma</w:t>
      </w:r>
      <w:r>
        <w:t>.</w:t>
      </w:r>
    </w:p>
    <w:p w14:paraId="6284832A" w14:textId="701282E6" w:rsidR="00CB07D2" w:rsidRDefault="00CB07D2" w:rsidP="00CB07D2">
      <w:r>
        <w:t xml:space="preserve">Más allá del compromiso de ambas </w:t>
      </w:r>
      <w:r w:rsidR="00BC5E8B">
        <w:t>instituciones</w:t>
      </w:r>
      <w:r>
        <w:t xml:space="preserve">, los presidentes han mostrado su acuerdo en que se deben facilitar más recursos a la Administración de Justicia y </w:t>
      </w:r>
      <w:r w:rsidR="00BC5E8B">
        <w:t>mejores con</w:t>
      </w:r>
      <w:r>
        <w:t>diciones al Turno de oficio. Asimismo, los máximos representantes de la Abogacía y del Poder Judicial han considerado esencial promover un</w:t>
      </w:r>
      <w:r w:rsidR="00BC5E8B">
        <w:t xml:space="preserve"> marco común de reconocimiento y consideración en </w:t>
      </w:r>
      <w:r>
        <w:t xml:space="preserve">el trato que debe presidir las </w:t>
      </w:r>
      <w:r>
        <w:lastRenderedPageBreak/>
        <w:t>relaciones entre los profesionales, siempre en beneficio de los justiciables y la ciudadanía.</w:t>
      </w:r>
    </w:p>
    <w:p w14:paraId="34C4945A" w14:textId="3F3F1A8B" w:rsidR="003A7D6E" w:rsidRDefault="003A7D6E" w:rsidP="00406BD1">
      <w:r>
        <w:t>“</w:t>
      </w:r>
      <w:r w:rsidR="006E0D65">
        <w:t>El compromiso de todos los operadores jurídicos es fundamental para mejorar el funcionamiento de la Justicia; y si remamos todos al mismo ritmo y en la misma dirección, estoy seguro de que conseguiremos mejores resultados</w:t>
      </w:r>
      <w:r w:rsidR="00345E1F">
        <w:t>”, ha expuesto Salvador González al término de la reunión celebrada en la sede del Consejo General del Poder Judicial.</w:t>
      </w:r>
    </w:p>
    <w:p w14:paraId="78FAABFB" w14:textId="45300783" w:rsidR="00B92C9B" w:rsidRDefault="000D6E9A" w:rsidP="00406BD1">
      <w:r>
        <w:t xml:space="preserve">Por último, </w:t>
      </w:r>
      <w:r w:rsidR="00B92C9B">
        <w:t>González y Perelló han abordado el ámbito de la formación conjunta. Si bien ya existen experiencias de colaboración y es frecuente la participación de jueces y magistrados en las sesiones formativas de la abogacía</w:t>
      </w:r>
      <w:r w:rsidR="00BC5E8B">
        <w:t xml:space="preserve"> y viceversa</w:t>
      </w:r>
      <w:r w:rsidR="00B92C9B">
        <w:t>, las dos instituciones creen que todavía queda mucho recorrido para mejorar la preparación profesional, especialmente en el terreno de la nueva legislación.</w:t>
      </w:r>
    </w:p>
    <w:p w14:paraId="4A56C152" w14:textId="77777777" w:rsidR="00717489" w:rsidRDefault="00717489" w:rsidP="00406BD1"/>
    <w:p w14:paraId="54978CB4" w14:textId="77777777" w:rsidR="00F251A8" w:rsidRDefault="00F251A8" w:rsidP="00F251A8"/>
    <w:p w14:paraId="7A888985" w14:textId="3EE6C0DF" w:rsidR="00F251A8" w:rsidRDefault="00F251A8" w:rsidP="00406BD1">
      <w:r w:rsidRPr="0004361A">
        <w:rPr>
          <w:noProof/>
        </w:rPr>
        <w:drawing>
          <wp:inline distT="0" distB="0" distL="0" distR="0" wp14:anchorId="35820262" wp14:editId="3BB0F896">
            <wp:extent cx="5400040" cy="1762814"/>
            <wp:effectExtent l="0" t="0" r="0" b="8890"/>
            <wp:docPr id="9288642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6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6CA4CC7C" w14:textId="77777777" w:rsidR="000E7CEB" w:rsidRPr="00716F62" w:rsidRDefault="000E7CEB" w:rsidP="00406BD1"/>
    <w:sectPr w:rsidR="000E7CEB" w:rsidRPr="00716F62" w:rsidSect="00745540"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74D0" w14:textId="77777777" w:rsidR="008E7F77" w:rsidRDefault="008E7F77" w:rsidP="00406BD1">
      <w:r>
        <w:separator/>
      </w:r>
    </w:p>
  </w:endnote>
  <w:endnote w:type="continuationSeparator" w:id="0">
    <w:p w14:paraId="3A41886F" w14:textId="77777777" w:rsidR="008E7F77" w:rsidRDefault="008E7F77" w:rsidP="0040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489D0" w14:textId="1519D934" w:rsidR="00745540" w:rsidRPr="002B61E2" w:rsidRDefault="00745540" w:rsidP="00D3488F">
    <w:pPr>
      <w:pStyle w:val="Piedepgina"/>
      <w:jc w:val="center"/>
      <w:rPr>
        <w:sz w:val="16"/>
        <w:szCs w:val="16"/>
      </w:rPr>
    </w:pPr>
    <w:r w:rsidRPr="002B61E2">
      <w:rPr>
        <w:sz w:val="16"/>
        <w:szCs w:val="16"/>
      </w:rPr>
      <w:t>Consejo General de la Abogacía Española</w:t>
    </w:r>
    <w:r w:rsidRPr="002B61E2">
      <w:rPr>
        <w:sz w:val="16"/>
        <w:szCs w:val="16"/>
      </w:rPr>
      <w:br/>
    </w:r>
    <w:proofErr w:type="spellStart"/>
    <w:r w:rsidRPr="002B61E2">
      <w:rPr>
        <w:sz w:val="16"/>
        <w:szCs w:val="16"/>
      </w:rPr>
      <w:t>Tfno</w:t>
    </w:r>
    <w:proofErr w:type="spellEnd"/>
    <w:r w:rsidRPr="002B61E2">
      <w:rPr>
        <w:sz w:val="16"/>
        <w:szCs w:val="16"/>
      </w:rPr>
      <w:t xml:space="preserve">: 91523 25 93; Fax: 91 532 64 38; </w:t>
    </w:r>
    <w:r w:rsidRPr="002B61E2">
      <w:rPr>
        <w:sz w:val="16"/>
        <w:szCs w:val="16"/>
      </w:rPr>
      <w:br/>
    </w:r>
    <w:proofErr w:type="spellStart"/>
    <w:r w:rsidRPr="002B61E2">
      <w:rPr>
        <w:sz w:val="16"/>
        <w:szCs w:val="16"/>
      </w:rPr>
      <w:t>Pº</w:t>
    </w:r>
    <w:proofErr w:type="spellEnd"/>
    <w:r w:rsidRPr="002B61E2">
      <w:rPr>
        <w:sz w:val="16"/>
        <w:szCs w:val="16"/>
      </w:rPr>
      <w:t xml:space="preserve"> de Recoletos, 13; 28004-MADRID</w:t>
    </w:r>
    <w:r w:rsidRPr="002B61E2">
      <w:rPr>
        <w:sz w:val="16"/>
        <w:szCs w:val="16"/>
      </w:rPr>
      <w:br/>
    </w:r>
    <w:hyperlink r:id="rId1" w:history="1">
      <w:r w:rsidRPr="002B61E2">
        <w:rPr>
          <w:rStyle w:val="Hipervnculo"/>
          <w:sz w:val="16"/>
          <w:szCs w:val="16"/>
        </w:rPr>
        <w:t>prensa@abogacia.es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31CBA" w14:textId="77777777" w:rsidR="008E7F77" w:rsidRDefault="008E7F77" w:rsidP="00406BD1">
      <w:r>
        <w:separator/>
      </w:r>
    </w:p>
  </w:footnote>
  <w:footnote w:type="continuationSeparator" w:id="0">
    <w:p w14:paraId="792D1C27" w14:textId="77777777" w:rsidR="008E7F77" w:rsidRDefault="008E7F77" w:rsidP="0040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072F6"/>
    <w:multiLevelType w:val="multilevel"/>
    <w:tmpl w:val="5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C4419"/>
    <w:multiLevelType w:val="hybridMultilevel"/>
    <w:tmpl w:val="5BD09E96"/>
    <w:lvl w:ilvl="0" w:tplc="F3883B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4788A"/>
    <w:multiLevelType w:val="hybridMultilevel"/>
    <w:tmpl w:val="2654B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C7AB2"/>
    <w:multiLevelType w:val="hybridMultilevel"/>
    <w:tmpl w:val="C3A29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989257">
    <w:abstractNumId w:val="2"/>
  </w:num>
  <w:num w:numId="2" w16cid:durableId="1238638586">
    <w:abstractNumId w:val="1"/>
  </w:num>
  <w:num w:numId="3" w16cid:durableId="375663582">
    <w:abstractNumId w:val="3"/>
  </w:num>
  <w:num w:numId="4" w16cid:durableId="163768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0"/>
    <w:rsid w:val="000221E2"/>
    <w:rsid w:val="000264A9"/>
    <w:rsid w:val="0004361A"/>
    <w:rsid w:val="00045BDE"/>
    <w:rsid w:val="0005111D"/>
    <w:rsid w:val="000705AB"/>
    <w:rsid w:val="000D6E9A"/>
    <w:rsid w:val="000E7CEB"/>
    <w:rsid w:val="00114E22"/>
    <w:rsid w:val="0011704B"/>
    <w:rsid w:val="001A5C97"/>
    <w:rsid w:val="001B7146"/>
    <w:rsid w:val="001D609E"/>
    <w:rsid w:val="001E6031"/>
    <w:rsid w:val="001E7551"/>
    <w:rsid w:val="002052AA"/>
    <w:rsid w:val="00207D54"/>
    <w:rsid w:val="00221B96"/>
    <w:rsid w:val="00231E85"/>
    <w:rsid w:val="00263779"/>
    <w:rsid w:val="00271937"/>
    <w:rsid w:val="00273869"/>
    <w:rsid w:val="00284714"/>
    <w:rsid w:val="00296396"/>
    <w:rsid w:val="002965BB"/>
    <w:rsid w:val="002A65B4"/>
    <w:rsid w:val="002B141F"/>
    <w:rsid w:val="002B61E2"/>
    <w:rsid w:val="002C133B"/>
    <w:rsid w:val="002C50AF"/>
    <w:rsid w:val="002C68F4"/>
    <w:rsid w:val="002D280D"/>
    <w:rsid w:val="002D28E1"/>
    <w:rsid w:val="002F0151"/>
    <w:rsid w:val="0032347D"/>
    <w:rsid w:val="0033263C"/>
    <w:rsid w:val="00332E4E"/>
    <w:rsid w:val="0034178B"/>
    <w:rsid w:val="00345E1F"/>
    <w:rsid w:val="00367301"/>
    <w:rsid w:val="0037702F"/>
    <w:rsid w:val="00391E75"/>
    <w:rsid w:val="003A7D6E"/>
    <w:rsid w:val="003C610A"/>
    <w:rsid w:val="003E5BB0"/>
    <w:rsid w:val="003F7E84"/>
    <w:rsid w:val="00406BD1"/>
    <w:rsid w:val="00411D02"/>
    <w:rsid w:val="004203BE"/>
    <w:rsid w:val="00420B5D"/>
    <w:rsid w:val="004375FA"/>
    <w:rsid w:val="0044797F"/>
    <w:rsid w:val="00472357"/>
    <w:rsid w:val="004C3166"/>
    <w:rsid w:val="004C7CD5"/>
    <w:rsid w:val="004F27FB"/>
    <w:rsid w:val="004F5619"/>
    <w:rsid w:val="0051698E"/>
    <w:rsid w:val="00526F86"/>
    <w:rsid w:val="00555414"/>
    <w:rsid w:val="00581139"/>
    <w:rsid w:val="00586B1D"/>
    <w:rsid w:val="00596CB9"/>
    <w:rsid w:val="005B1436"/>
    <w:rsid w:val="005F0200"/>
    <w:rsid w:val="005F5FAF"/>
    <w:rsid w:val="00606315"/>
    <w:rsid w:val="006146ED"/>
    <w:rsid w:val="00624C30"/>
    <w:rsid w:val="0062562F"/>
    <w:rsid w:val="00665DA0"/>
    <w:rsid w:val="00671563"/>
    <w:rsid w:val="006B2EEF"/>
    <w:rsid w:val="006D2A67"/>
    <w:rsid w:val="006D4787"/>
    <w:rsid w:val="006E0D65"/>
    <w:rsid w:val="006F04F5"/>
    <w:rsid w:val="006F6FB4"/>
    <w:rsid w:val="00716F62"/>
    <w:rsid w:val="00717489"/>
    <w:rsid w:val="00735043"/>
    <w:rsid w:val="00745540"/>
    <w:rsid w:val="00746D4C"/>
    <w:rsid w:val="007D1BD6"/>
    <w:rsid w:val="007D71BC"/>
    <w:rsid w:val="007F139F"/>
    <w:rsid w:val="007F233F"/>
    <w:rsid w:val="0081207E"/>
    <w:rsid w:val="00823E54"/>
    <w:rsid w:val="00825200"/>
    <w:rsid w:val="00835FE4"/>
    <w:rsid w:val="00854DF6"/>
    <w:rsid w:val="0086018C"/>
    <w:rsid w:val="00876AF9"/>
    <w:rsid w:val="00884D7F"/>
    <w:rsid w:val="008959F3"/>
    <w:rsid w:val="008B4A09"/>
    <w:rsid w:val="008C0FFD"/>
    <w:rsid w:val="008C5A09"/>
    <w:rsid w:val="008D2514"/>
    <w:rsid w:val="008D4E67"/>
    <w:rsid w:val="008E63D9"/>
    <w:rsid w:val="008E7943"/>
    <w:rsid w:val="008E7F77"/>
    <w:rsid w:val="00910EDA"/>
    <w:rsid w:val="00913C62"/>
    <w:rsid w:val="009460F8"/>
    <w:rsid w:val="0095112D"/>
    <w:rsid w:val="0098632F"/>
    <w:rsid w:val="009C7E80"/>
    <w:rsid w:val="009D78B9"/>
    <w:rsid w:val="009D7D3B"/>
    <w:rsid w:val="009E4A28"/>
    <w:rsid w:val="009F3B4A"/>
    <w:rsid w:val="00A27F24"/>
    <w:rsid w:val="00A435E5"/>
    <w:rsid w:val="00A60551"/>
    <w:rsid w:val="00A60FA3"/>
    <w:rsid w:val="00A66B9B"/>
    <w:rsid w:val="00A710B7"/>
    <w:rsid w:val="00A91631"/>
    <w:rsid w:val="00AA1DE9"/>
    <w:rsid w:val="00AC6F33"/>
    <w:rsid w:val="00AD0C6D"/>
    <w:rsid w:val="00AD264F"/>
    <w:rsid w:val="00AE501A"/>
    <w:rsid w:val="00AF6E40"/>
    <w:rsid w:val="00B05F41"/>
    <w:rsid w:val="00B12D1C"/>
    <w:rsid w:val="00B2310E"/>
    <w:rsid w:val="00B26CDD"/>
    <w:rsid w:val="00B35B55"/>
    <w:rsid w:val="00B54D2C"/>
    <w:rsid w:val="00B715BA"/>
    <w:rsid w:val="00B816EA"/>
    <w:rsid w:val="00B90BB9"/>
    <w:rsid w:val="00B91273"/>
    <w:rsid w:val="00B92C9B"/>
    <w:rsid w:val="00BA4758"/>
    <w:rsid w:val="00BB6C4E"/>
    <w:rsid w:val="00BC5E8B"/>
    <w:rsid w:val="00C05E9E"/>
    <w:rsid w:val="00C10C3B"/>
    <w:rsid w:val="00C50801"/>
    <w:rsid w:val="00CB07D2"/>
    <w:rsid w:val="00D10A1A"/>
    <w:rsid w:val="00D3488F"/>
    <w:rsid w:val="00D5102B"/>
    <w:rsid w:val="00D5531A"/>
    <w:rsid w:val="00D64827"/>
    <w:rsid w:val="00D70D0B"/>
    <w:rsid w:val="00E07B2C"/>
    <w:rsid w:val="00E11D55"/>
    <w:rsid w:val="00E2133E"/>
    <w:rsid w:val="00E30C1E"/>
    <w:rsid w:val="00E549CD"/>
    <w:rsid w:val="00E613D6"/>
    <w:rsid w:val="00E83412"/>
    <w:rsid w:val="00E8442E"/>
    <w:rsid w:val="00E954BB"/>
    <w:rsid w:val="00EC2F32"/>
    <w:rsid w:val="00EC6591"/>
    <w:rsid w:val="00EE7F54"/>
    <w:rsid w:val="00F251A8"/>
    <w:rsid w:val="00F343B8"/>
    <w:rsid w:val="00F3690D"/>
    <w:rsid w:val="00F41AC2"/>
    <w:rsid w:val="00F74DFF"/>
    <w:rsid w:val="00F93668"/>
    <w:rsid w:val="00F97191"/>
    <w:rsid w:val="00FE356D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06DC"/>
  <w15:chartTrackingRefBased/>
  <w15:docId w15:val="{9122FE2F-B49E-4B57-95BE-051D31A4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406BD1"/>
    <w:pPr>
      <w:spacing w:before="120" w:after="60" w:line="288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455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5540"/>
    <w:rPr>
      <w:rFonts w:ascii="Optima" w:eastAsia="Times New Roman" w:hAnsi="Optim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74554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540"/>
    <w:rPr>
      <w:rFonts w:ascii="Optima" w:eastAsia="Times New Roman" w:hAnsi="Optima" w:cs="Times New Roman"/>
      <w:sz w:val="24"/>
      <w:szCs w:val="24"/>
      <w:lang w:eastAsia="es-ES"/>
    </w:rPr>
  </w:style>
  <w:style w:type="character" w:styleId="Hipervnculo">
    <w:name w:val="Hyperlink"/>
    <w:rsid w:val="007455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705A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16F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7551"/>
    <w:rPr>
      <w:rFonts w:ascii="Times New Roman" w:hAnsi="Times New Roman"/>
    </w:rPr>
  </w:style>
  <w:style w:type="paragraph" w:styleId="Textonotapie">
    <w:name w:val="footnote text"/>
    <w:basedOn w:val="Normal"/>
    <w:link w:val="TextonotapieCar"/>
    <w:uiPriority w:val="99"/>
    <w:unhideWhenUsed/>
    <w:rsid w:val="00A60FA3"/>
    <w:pPr>
      <w:spacing w:before="0"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60FA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A60FA3"/>
    <w:rPr>
      <w:vertAlign w:val="superscript"/>
    </w:rPr>
  </w:style>
  <w:style w:type="character" w:customStyle="1" w:styleId="ui-provider">
    <w:name w:val="ui-provider"/>
    <w:basedOn w:val="Fuentedeprrafopredeter"/>
    <w:rsid w:val="004C3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abogac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SÁNCHEZ LLAMAS</dc:creator>
  <cp:keywords/>
  <dc:description/>
  <cp:lastModifiedBy>MARIA DEL VAL LÓPEZ NOTARIO</cp:lastModifiedBy>
  <cp:revision>2</cp:revision>
  <cp:lastPrinted>2024-10-24T06:50:00Z</cp:lastPrinted>
  <dcterms:created xsi:type="dcterms:W3CDTF">2024-10-24T10:48:00Z</dcterms:created>
  <dcterms:modified xsi:type="dcterms:W3CDTF">2024-10-24T10:48:00Z</dcterms:modified>
</cp:coreProperties>
</file>